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2E69C" w14:textId="128235F2" w:rsidR="00DA3F0F" w:rsidRPr="00000AF1" w:rsidRDefault="00DA3F0F" w:rsidP="00DA3F0F">
      <w:pPr>
        <w:pStyle w:val="3GPPHeader"/>
        <w:spacing w:after="60"/>
        <w:rPr>
          <w:bCs/>
        </w:rPr>
      </w:pPr>
      <w:r w:rsidRPr="00000AF1">
        <w:rPr>
          <w:bCs/>
        </w:rPr>
        <w:t>3GPP TSG RAN WG1 NR Ad-Hoc</w:t>
      </w:r>
      <w:r w:rsidRPr="00000AF1">
        <w:rPr>
          <w:rFonts w:hint="eastAsia"/>
          <w:bCs/>
        </w:rPr>
        <w:t xml:space="preserve">#2                                       </w:t>
      </w:r>
      <w:r w:rsidRPr="00000AF1">
        <w:rPr>
          <w:bCs/>
        </w:rPr>
        <w:tab/>
      </w:r>
      <w:r w:rsidR="00C62957" w:rsidRPr="00C62957">
        <w:rPr>
          <w:bCs/>
        </w:rPr>
        <w:t>R1-1711516</w:t>
      </w:r>
      <w:bookmarkStart w:id="0" w:name="_GoBack"/>
      <w:bookmarkEnd w:id="0"/>
    </w:p>
    <w:p w14:paraId="5525A811" w14:textId="77777777" w:rsidR="00DA3F0F" w:rsidRPr="007B78FE" w:rsidRDefault="00DA3F0F" w:rsidP="00DA3F0F">
      <w:pPr>
        <w:pStyle w:val="3GPPHeader"/>
        <w:rPr>
          <w:lang w:val="en-US"/>
        </w:rPr>
      </w:pPr>
      <w:r w:rsidRPr="00000AF1">
        <w:rPr>
          <w:rFonts w:hint="eastAsia"/>
          <w:bCs/>
        </w:rPr>
        <w:t>Qingdao</w:t>
      </w:r>
      <w:r w:rsidRPr="00000AF1">
        <w:rPr>
          <w:bCs/>
        </w:rPr>
        <w:t xml:space="preserve">, </w:t>
      </w:r>
      <w:r w:rsidRPr="00000AF1">
        <w:rPr>
          <w:rFonts w:hint="eastAsia"/>
          <w:bCs/>
        </w:rPr>
        <w:t>P.R. China</w:t>
      </w:r>
      <w:r>
        <w:rPr>
          <w:bCs/>
        </w:rPr>
        <w:t>,</w:t>
      </w:r>
      <w:r w:rsidRPr="00000AF1">
        <w:rPr>
          <w:bCs/>
        </w:rPr>
        <w:t xml:space="preserve"> </w:t>
      </w:r>
      <w:r w:rsidRPr="00000AF1">
        <w:rPr>
          <w:rFonts w:hint="eastAsia"/>
          <w:bCs/>
        </w:rPr>
        <w:t xml:space="preserve">27th </w:t>
      </w:r>
      <w:r w:rsidRPr="00000AF1">
        <w:rPr>
          <w:bCs/>
        </w:rPr>
        <w:t xml:space="preserve">– </w:t>
      </w:r>
      <w:r w:rsidRPr="00000AF1">
        <w:rPr>
          <w:rFonts w:hint="eastAsia"/>
          <w:bCs/>
        </w:rPr>
        <w:t>30th</w:t>
      </w:r>
      <w:r w:rsidRPr="00000AF1">
        <w:rPr>
          <w:bCs/>
        </w:rPr>
        <w:t xml:space="preserve"> </w:t>
      </w:r>
      <w:r w:rsidRPr="00000AF1">
        <w:rPr>
          <w:rFonts w:hint="eastAsia"/>
          <w:bCs/>
        </w:rPr>
        <w:t>June</w:t>
      </w:r>
      <w:r w:rsidRPr="00000AF1">
        <w:rPr>
          <w:bCs/>
        </w:rPr>
        <w:t xml:space="preserve"> 201</w:t>
      </w:r>
      <w:r w:rsidRPr="00000AF1">
        <w:rPr>
          <w:rFonts w:hint="eastAsia"/>
          <w:bCs/>
        </w:rPr>
        <w:t>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5E7A72F8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C2D71">
        <w:t>On Mixed N</w:t>
      </w:r>
      <w:r w:rsidR="009E3611">
        <w:t>umerology</w:t>
      </w:r>
    </w:p>
    <w:p w14:paraId="36627550" w14:textId="11640A29" w:rsidR="008B062D" w:rsidRPr="008B062D" w:rsidRDefault="00FE5799" w:rsidP="00F86630">
      <w:pPr>
        <w:pStyle w:val="Header"/>
        <w:tabs>
          <w:tab w:val="clear" w:pos="4536"/>
          <w:tab w:val="left" w:pos="1800"/>
        </w:tabs>
        <w:rPr>
          <w:color w:val="FF0000"/>
        </w:rPr>
      </w:pPr>
      <w:r w:rsidRPr="00E220C0">
        <w:t xml:space="preserve">Agenda </w:t>
      </w:r>
      <w:r w:rsidRPr="00553681">
        <w:t>Item:</w:t>
      </w:r>
      <w:bookmarkStart w:id="2" w:name="Source"/>
      <w:bookmarkEnd w:id="2"/>
      <w:r w:rsidRPr="00553681">
        <w:tab/>
      </w:r>
      <w:r w:rsidR="00DA3F0F">
        <w:t>5.1.3.3.9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23CD72B" w:rsidR="0056282E" w:rsidRDefault="00377FE8" w:rsidP="00B127E7">
      <w:pPr>
        <w:pStyle w:val="Heading1"/>
      </w:pPr>
      <w:r>
        <w:t>Introduction and backgroun</w:t>
      </w:r>
      <w:r w:rsidR="00BA0759">
        <w:t>d</w:t>
      </w:r>
    </w:p>
    <w:p w14:paraId="64D3C700" w14:textId="0324359F" w:rsidR="008736BD" w:rsidRDefault="008B062D" w:rsidP="008B062D">
      <w:pPr>
        <w:pStyle w:val="BodyText"/>
        <w:rPr>
          <w:i/>
        </w:rPr>
      </w:pPr>
      <w:r>
        <w:t>It has for a long time been agreed t</w:t>
      </w:r>
      <w:r w:rsidR="003661EB">
        <w:t xml:space="preserve">hat NR should support different numerologies ranging from (at least) 15 kHz sub-carrier spacing to 240 kHz sub-carrier spacing. </w:t>
      </w:r>
      <w:r>
        <w:t>It has also, for a long time, been agreed that NR should support the use of multiple numerologies within one carrier, also referred to as</w:t>
      </w:r>
      <w:r w:rsidRPr="008B062D">
        <w:rPr>
          <w:i/>
        </w:rPr>
        <w:t xml:space="preserve"> mixed numerology. </w:t>
      </w:r>
    </w:p>
    <w:p w14:paraId="1F29BCED" w14:textId="4E776A91" w:rsidR="009E3611" w:rsidRPr="003C58E2" w:rsidRDefault="003C58E2" w:rsidP="008B062D">
      <w:pPr>
        <w:pStyle w:val="BodyText"/>
      </w:pPr>
      <w:r w:rsidRPr="003C58E2">
        <w:t>In this paper we discuss some aspects</w:t>
      </w:r>
      <w:r>
        <w:t xml:space="preserve"> and make some proposals related to this</w:t>
      </w:r>
    </w:p>
    <w:p w14:paraId="7554F821" w14:textId="234DD565" w:rsidR="00B127E7" w:rsidRDefault="000839DB" w:rsidP="00B127E7">
      <w:pPr>
        <w:pStyle w:val="Heading1"/>
      </w:pPr>
      <w:r>
        <w:t>Numerology for PDC</w:t>
      </w:r>
      <w:r w:rsidR="00B127E7">
        <w:t xml:space="preserve">CH vs. </w:t>
      </w:r>
      <w:r>
        <w:t>numerology for PDS</w:t>
      </w:r>
      <w:r w:rsidR="00B127E7">
        <w:t>CH</w:t>
      </w:r>
    </w:p>
    <w:p w14:paraId="1FE9AC43" w14:textId="5FB224A7" w:rsidR="009653FA" w:rsidRDefault="00B127E7" w:rsidP="00B127E7">
      <w:pPr>
        <w:pStyle w:val="BodyText"/>
      </w:pPr>
      <w:r>
        <w:t xml:space="preserve">In case of </w:t>
      </w:r>
      <w:r w:rsidRPr="00221DCF">
        <w:rPr>
          <w:i/>
        </w:rPr>
        <w:t>same-carrier</w:t>
      </w:r>
      <w:r w:rsidRPr="00221DCF">
        <w:t xml:space="preserve"> scheduling</w:t>
      </w:r>
      <w:r w:rsidR="00795931" w:rsidRPr="00221DCF">
        <w:t>,</w:t>
      </w:r>
      <w:r w:rsidR="00795931">
        <w:t xml:space="preserve"> i.e. </w:t>
      </w:r>
      <w:r w:rsidR="000839DB">
        <w:t>PDCC</w:t>
      </w:r>
      <w:r>
        <w:t xml:space="preserve">H </w:t>
      </w:r>
      <w:r w:rsidR="008E6B1A">
        <w:t xml:space="preserve">transmission </w:t>
      </w:r>
      <w:r w:rsidR="000839DB">
        <w:t>and the corresponding scheduled PDS</w:t>
      </w:r>
      <w:r>
        <w:t xml:space="preserve">CH </w:t>
      </w:r>
      <w:r w:rsidR="008E6B1A">
        <w:t xml:space="preserve">transmission </w:t>
      </w:r>
      <w:r w:rsidR="000839DB">
        <w:t>(the PDS</w:t>
      </w:r>
      <w:r>
        <w:t xml:space="preserve">CH </w:t>
      </w:r>
      <w:r w:rsidR="000839DB">
        <w:t xml:space="preserve">transmission for which dynamic scheduling information is conveyed by the </w:t>
      </w:r>
      <w:r w:rsidR="00F07663">
        <w:t>PDC</w:t>
      </w:r>
      <w:r>
        <w:t>C</w:t>
      </w:r>
      <w:r w:rsidR="00965D87">
        <w:t>H transmis</w:t>
      </w:r>
      <w:r>
        <w:t>sion) on the same carrier, there does not s</w:t>
      </w:r>
      <w:r w:rsidR="008E6B1A">
        <w:t>eem to be any strong reason</w:t>
      </w:r>
      <w:r w:rsidR="00551988">
        <w:t>s</w:t>
      </w:r>
      <w:r w:rsidR="008E6B1A">
        <w:t xml:space="preserve"> for having</w:t>
      </w:r>
      <w:r w:rsidR="000839DB">
        <w:t xml:space="preserve"> different numerology for the PDC</w:t>
      </w:r>
      <w:r>
        <w:t xml:space="preserve">CH </w:t>
      </w:r>
      <w:r w:rsidR="00626A33">
        <w:t>an</w:t>
      </w:r>
      <w:r w:rsidR="000839DB">
        <w:t>d PDSCH transmissions</w:t>
      </w:r>
      <w:r>
        <w:t xml:space="preserve">. However, </w:t>
      </w:r>
      <w:r w:rsidR="008E6B1A">
        <w:t xml:space="preserve">in case of </w:t>
      </w:r>
      <w:r w:rsidR="00965D87">
        <w:t xml:space="preserve">cross-carrier </w:t>
      </w:r>
      <w:r w:rsidR="008E6B1A">
        <w:t xml:space="preserve">the situation is different. Especially, </w:t>
      </w:r>
      <w:r w:rsidR="00221DCF">
        <w:t>in case of</w:t>
      </w:r>
      <w:r w:rsidR="008E6B1A">
        <w:t xml:space="preserve"> cross-carrier scheduling </w:t>
      </w:r>
      <w:r w:rsidR="00965D87">
        <w:t xml:space="preserve">between </w:t>
      </w:r>
      <w:r w:rsidR="008E6B1A">
        <w:t xml:space="preserve">carries in </w:t>
      </w:r>
      <w:r w:rsidR="009653FA">
        <w:t xml:space="preserve">very </w:t>
      </w:r>
      <w:r w:rsidR="008E6B1A">
        <w:t>different frequency regions</w:t>
      </w:r>
      <w:r w:rsidR="00965D87">
        <w:t xml:space="preserve">, </w:t>
      </w:r>
      <w:r>
        <w:t>the use</w:t>
      </w:r>
      <w:r w:rsidR="000839DB">
        <w:t xml:space="preserve"> of different numerology for the PDCCH </w:t>
      </w:r>
      <w:r w:rsidR="00626A33">
        <w:t xml:space="preserve">and PDSCH </w:t>
      </w:r>
      <w:r w:rsidR="000839DB">
        <w:t>transmission</w:t>
      </w:r>
      <w:r w:rsidR="00221DCF">
        <w:t>s</w:t>
      </w:r>
      <w:r w:rsidR="000839DB">
        <w:t xml:space="preserve"> </w:t>
      </w:r>
      <w:r w:rsidR="009653FA">
        <w:t>must be supported</w:t>
      </w:r>
      <w:r>
        <w:t xml:space="preserve">. </w:t>
      </w:r>
    </w:p>
    <w:p w14:paraId="50566C3C" w14:textId="77777777" w:rsidR="00626A33" w:rsidRDefault="00626A33" w:rsidP="00626A33">
      <w:pPr>
        <w:pStyle w:val="BodyText"/>
        <w:tabs>
          <w:tab w:val="left" w:pos="993"/>
        </w:tabs>
        <w:ind w:left="993" w:hanging="993"/>
        <w:rPr>
          <w:b/>
        </w:rPr>
      </w:pPr>
      <w:r>
        <w:rPr>
          <w:b/>
        </w:rPr>
        <w:t xml:space="preserve">Proposed agreement:  </w:t>
      </w:r>
      <w:r>
        <w:rPr>
          <w:b/>
        </w:rPr>
        <w:tab/>
      </w:r>
    </w:p>
    <w:p w14:paraId="35992CBF" w14:textId="42F1B629" w:rsidR="00626A33" w:rsidRPr="00626A33" w:rsidRDefault="00626A33" w:rsidP="00B127E7">
      <w:pPr>
        <w:pStyle w:val="BodyText"/>
        <w:numPr>
          <w:ilvl w:val="0"/>
          <w:numId w:val="42"/>
        </w:numPr>
        <w:tabs>
          <w:tab w:val="left" w:pos="993"/>
        </w:tabs>
        <w:rPr>
          <w:b/>
        </w:rPr>
      </w:pPr>
      <w:r>
        <w:rPr>
          <w:i/>
        </w:rPr>
        <w:t>NR allows for different numerology for PDCCH and the corresponding scheduled PDSCH, at least in case of cross-carrier scheduling.</w:t>
      </w:r>
    </w:p>
    <w:p w14:paraId="53055421" w14:textId="694B56D7" w:rsidR="00733AAC" w:rsidRPr="004C60B9" w:rsidRDefault="004C60B9" w:rsidP="00B127E7">
      <w:pPr>
        <w:pStyle w:val="BodyText"/>
        <w:rPr>
          <w:highlight w:val="red"/>
        </w:rPr>
      </w:pPr>
      <w:r>
        <w:t>Th</w:t>
      </w:r>
      <w:r w:rsidR="009653FA">
        <w:t>e use of differ</w:t>
      </w:r>
      <w:r w:rsidR="000839DB">
        <w:t>ent numerology for PDCCH and PDS</w:t>
      </w:r>
      <w:r w:rsidR="009653FA">
        <w:t xml:space="preserve">CH </w:t>
      </w:r>
      <w:r>
        <w:t>implies</w:t>
      </w:r>
      <w:r w:rsidR="009653FA">
        <w:t xml:space="preserve"> different slot lengths</w:t>
      </w:r>
      <w:r w:rsidR="000839DB">
        <w:t xml:space="preserve"> for the PDCCH and PDS</w:t>
      </w:r>
      <w:r w:rsidR="009653FA">
        <w:t xml:space="preserve">CH transmissions. Especially, in case of </w:t>
      </w:r>
      <w:r w:rsidR="000839DB">
        <w:t>PDC</w:t>
      </w:r>
      <w:r w:rsidR="00B127E7">
        <w:t xml:space="preserve">CH </w:t>
      </w:r>
      <w:r w:rsidR="008E6B1A">
        <w:t>transmission using</w:t>
      </w:r>
      <w:r w:rsidR="000839DB">
        <w:t xml:space="preserve"> lower</w:t>
      </w:r>
      <w:r w:rsidR="00B127E7">
        <w:t xml:space="preserve"> numerology </w:t>
      </w:r>
      <w:r w:rsidR="00626A33">
        <w:t xml:space="preserve">in a lower frequency band </w:t>
      </w:r>
      <w:r w:rsidR="00B127E7">
        <w:t xml:space="preserve">and </w:t>
      </w:r>
      <w:r w:rsidR="000839DB">
        <w:t>the corresponding</w:t>
      </w:r>
      <w:r w:rsidR="00965D87">
        <w:t xml:space="preserve"> </w:t>
      </w:r>
      <w:r w:rsidR="000839DB">
        <w:t>PDS</w:t>
      </w:r>
      <w:r w:rsidR="00B127E7">
        <w:t xml:space="preserve">CH </w:t>
      </w:r>
      <w:r w:rsidR="008E6B1A">
        <w:t xml:space="preserve">transmission </w:t>
      </w:r>
      <w:r w:rsidR="00626A33">
        <w:t>using higher numerology i</w:t>
      </w:r>
      <w:r w:rsidR="00B127E7">
        <w:t xml:space="preserve">n </w:t>
      </w:r>
      <w:r w:rsidR="008E6B1A">
        <w:t xml:space="preserve">a </w:t>
      </w:r>
      <w:r w:rsidR="000839DB">
        <w:t xml:space="preserve">higher </w:t>
      </w:r>
      <w:r w:rsidR="00221DCF">
        <w:t xml:space="preserve">frequency band, which </w:t>
      </w:r>
      <w:r w:rsidR="00551988">
        <w:t>is</w:t>
      </w:r>
      <w:r w:rsidR="00626A33">
        <w:t xml:space="preserve"> the </w:t>
      </w:r>
      <w:r w:rsidR="00221DCF">
        <w:t xml:space="preserve">most </w:t>
      </w:r>
      <w:r w:rsidR="00626A33">
        <w:t>relevant low-frequency/high</w:t>
      </w:r>
      <w:r w:rsidR="009653FA">
        <w:t xml:space="preserve">-frequency cross-carrier-scheduling scenario, </w:t>
      </w:r>
      <w:r w:rsidR="00B127E7">
        <w:t>th</w:t>
      </w:r>
      <w:r w:rsidR="008E6B1A">
        <w:t xml:space="preserve">e length of the control </w:t>
      </w:r>
      <w:r>
        <w:t xml:space="preserve">(PDCCH) region </w:t>
      </w:r>
      <w:r w:rsidR="00B127E7">
        <w:t xml:space="preserve">may correspond to a substantial </w:t>
      </w:r>
      <w:r w:rsidR="008E6B1A">
        <w:t xml:space="preserve">part of, and in extreme cases </w:t>
      </w:r>
      <w:r w:rsidR="00B127E7">
        <w:t>even exceed</w:t>
      </w:r>
      <w:r w:rsidR="008E6B1A">
        <w:t>,</w:t>
      </w:r>
      <w:r w:rsidR="00551988">
        <w:t xml:space="preserve"> the length of the</w:t>
      </w:r>
      <w:r w:rsidR="00F07663">
        <w:t xml:space="preserve"> </w:t>
      </w:r>
      <w:r w:rsidR="00551988">
        <w:t xml:space="preserve">slot length of the </w:t>
      </w:r>
      <w:r w:rsidR="00F07663">
        <w:t xml:space="preserve">corresponding </w:t>
      </w:r>
      <w:r w:rsidR="00551988">
        <w:t>PDSCH transmission</w:t>
      </w:r>
      <w:r w:rsidR="00B127E7">
        <w:t xml:space="preserve">. </w:t>
      </w:r>
      <w:r w:rsidR="00626A33">
        <w:t>This</w:t>
      </w:r>
      <w:r>
        <w:t xml:space="preserve"> </w:t>
      </w:r>
      <w:r w:rsidR="00551988">
        <w:t>needs to</w:t>
      </w:r>
      <w:r w:rsidR="00656006">
        <w:t xml:space="preserve"> be considered</w:t>
      </w:r>
      <w:r>
        <w:t xml:space="preserve"> when </w:t>
      </w:r>
      <w:r w:rsidRPr="00626A33">
        <w:t xml:space="preserve">specifying </w:t>
      </w:r>
      <w:r w:rsidR="00626A33" w:rsidRPr="00626A33">
        <w:t xml:space="preserve">the timing relation between </w:t>
      </w:r>
      <w:r w:rsidRPr="00626A33">
        <w:t>PDCCH transmission and the</w:t>
      </w:r>
      <w:r w:rsidR="00626A33">
        <w:t xml:space="preserve"> corresp</w:t>
      </w:r>
      <w:r w:rsidR="00221DCF">
        <w:t>onding schedul</w:t>
      </w:r>
      <w:r w:rsidR="00626A33" w:rsidRPr="00626A33">
        <w:t>ed PDSCH transmission.</w:t>
      </w:r>
      <w:r w:rsidR="00221DCF">
        <w:t xml:space="preserve"> </w:t>
      </w:r>
    </w:p>
    <w:p w14:paraId="321F7FCF" w14:textId="108830D8" w:rsidR="00656006" w:rsidRDefault="00656006" w:rsidP="00656006">
      <w:pPr>
        <w:pStyle w:val="Heading1"/>
      </w:pPr>
      <w:r>
        <w:t>Numerology for PDCCH vs. numerology for PUSCH</w:t>
      </w:r>
    </w:p>
    <w:p w14:paraId="41AD4F89" w14:textId="411F1EAE" w:rsidR="00551988" w:rsidRPr="004C60B9" w:rsidRDefault="00B127E7" w:rsidP="00551988">
      <w:pPr>
        <w:pStyle w:val="BodyText"/>
        <w:rPr>
          <w:highlight w:val="red"/>
        </w:rPr>
      </w:pPr>
      <w:r>
        <w:t>In general, it seems to make sense to suppor</w:t>
      </w:r>
      <w:r w:rsidR="00221DCF">
        <w:t>t different numerology for PDCCH transmission carrying uplink scheduling grant and the corresponding scheduled PU</w:t>
      </w:r>
      <w:r>
        <w:t>SCH</w:t>
      </w:r>
      <w:r w:rsidR="00F07663">
        <w:t>. Like for PDSCH transmission</w:t>
      </w:r>
      <w:r w:rsidR="00551988">
        <w:t>,</w:t>
      </w:r>
      <w:r w:rsidR="00F07663">
        <w:t xml:space="preserve"> this will lead to different symbol/slot lengths something that</w:t>
      </w:r>
      <w:r w:rsidR="00551988">
        <w:t xml:space="preserve"> needs to be considered when </w:t>
      </w:r>
      <w:r w:rsidR="00551988" w:rsidRPr="00626A33">
        <w:t>specifying the timing relation between PDCCH transmission and the</w:t>
      </w:r>
      <w:r w:rsidR="00551988">
        <w:t xml:space="preserve"> corresponding scheduled PU</w:t>
      </w:r>
      <w:r w:rsidR="00551988" w:rsidRPr="00626A33">
        <w:t>SCH transmission.</w:t>
      </w:r>
      <w:r w:rsidR="00551988">
        <w:t xml:space="preserve"> </w:t>
      </w:r>
    </w:p>
    <w:p w14:paraId="5D4D61A2" w14:textId="760F3D3D" w:rsidR="00BE7F9D" w:rsidRDefault="00BE7F9D" w:rsidP="00B127E7">
      <w:pPr>
        <w:pStyle w:val="BodyText"/>
        <w:rPr>
          <w:b/>
        </w:rPr>
      </w:pPr>
      <w:r>
        <w:rPr>
          <w:b/>
        </w:rPr>
        <w:t>Proposed agreement</w:t>
      </w:r>
      <w:r w:rsidR="00F6095F">
        <w:rPr>
          <w:b/>
        </w:rPr>
        <w:t xml:space="preserve">: </w:t>
      </w:r>
    </w:p>
    <w:p w14:paraId="6F726CA0" w14:textId="1D476122" w:rsidR="00B127E7" w:rsidRPr="00F6095F" w:rsidRDefault="00343AA2" w:rsidP="00BE7F9D">
      <w:pPr>
        <w:pStyle w:val="BodyText"/>
        <w:numPr>
          <w:ilvl w:val="0"/>
          <w:numId w:val="41"/>
        </w:numPr>
        <w:rPr>
          <w:b/>
        </w:rPr>
      </w:pPr>
      <w:r>
        <w:rPr>
          <w:i/>
        </w:rPr>
        <w:t xml:space="preserve">NR </w:t>
      </w:r>
      <w:r w:rsidR="00B127E7">
        <w:rPr>
          <w:i/>
        </w:rPr>
        <w:t>allow</w:t>
      </w:r>
      <w:r>
        <w:rPr>
          <w:i/>
        </w:rPr>
        <w:t>s</w:t>
      </w:r>
      <w:r w:rsidR="00B127E7">
        <w:rPr>
          <w:i/>
        </w:rPr>
        <w:t xml:space="preserve"> </w:t>
      </w:r>
      <w:r w:rsidR="00221DCF">
        <w:rPr>
          <w:i/>
        </w:rPr>
        <w:t xml:space="preserve">for different numerology for PDCCH and the corresponding </w:t>
      </w:r>
      <w:r w:rsidR="00551988">
        <w:rPr>
          <w:i/>
        </w:rPr>
        <w:t xml:space="preserve">scheduled </w:t>
      </w:r>
      <w:r w:rsidR="00221DCF">
        <w:rPr>
          <w:i/>
        </w:rPr>
        <w:t>PUS</w:t>
      </w:r>
      <w:r w:rsidR="00B127E7">
        <w:rPr>
          <w:i/>
        </w:rPr>
        <w:t>CH</w:t>
      </w:r>
    </w:p>
    <w:p w14:paraId="630BC4D3" w14:textId="29EFA9ED" w:rsidR="00F6095F" w:rsidRDefault="00F6095F" w:rsidP="00F6095F">
      <w:pPr>
        <w:pStyle w:val="Heading1"/>
      </w:pPr>
      <w:r>
        <w:t>PDCCH numerology</w:t>
      </w:r>
    </w:p>
    <w:p w14:paraId="361D8B9C" w14:textId="7CF5A7A7" w:rsidR="00691662" w:rsidRDefault="00B127E7" w:rsidP="00F6095F">
      <w:pPr>
        <w:pStyle w:val="BodyText"/>
      </w:pPr>
      <w:r>
        <w:t xml:space="preserve">A UE can be configured to monitor for PDCCH on one or multiple </w:t>
      </w:r>
      <w:r w:rsidR="00F6095F">
        <w:t>numerolo</w:t>
      </w:r>
      <w:r>
        <w:t xml:space="preserve">gies. </w:t>
      </w:r>
      <w:r w:rsidR="00F6095F">
        <w:t xml:space="preserve">In general, a UE monitors for PDCCH over a search space configured within a configured CORESET. </w:t>
      </w:r>
      <w:r w:rsidR="00965D87">
        <w:t>Both the</w:t>
      </w:r>
      <w:r w:rsidR="00691662">
        <w:t xml:space="preserve"> search space a</w:t>
      </w:r>
      <w:r w:rsidR="00F07663">
        <w:t>nd the CORESET are</w:t>
      </w:r>
      <w:r w:rsidR="00965D87">
        <w:t xml:space="preserve"> expresse</w:t>
      </w:r>
      <w:r w:rsidR="00795931">
        <w:t>d</w:t>
      </w:r>
      <w:r w:rsidR="00965D87">
        <w:t xml:space="preserve"> i</w:t>
      </w:r>
      <w:r w:rsidR="00691662">
        <w:t>n terms of OFDM resources. This inherently</w:t>
      </w:r>
      <w:r w:rsidR="00965D87">
        <w:t xml:space="preserve"> </w:t>
      </w:r>
      <w:r w:rsidR="00691662">
        <w:t xml:space="preserve">means that the configuration </w:t>
      </w:r>
      <w:r w:rsidR="00F07663">
        <w:t xml:space="preserve">assumes </w:t>
      </w:r>
      <w:r w:rsidR="00691662">
        <w:t>a certain numerology.</w:t>
      </w:r>
      <w:r w:rsidR="00795931">
        <w:t xml:space="preserve"> </w:t>
      </w:r>
    </w:p>
    <w:p w14:paraId="644562BE" w14:textId="43AE5323" w:rsidR="00F07663" w:rsidRDefault="00691662" w:rsidP="00F6095F">
      <w:pPr>
        <w:pStyle w:val="BodyText"/>
      </w:pPr>
      <w:r>
        <w:t xml:space="preserve">It is also desirable </w:t>
      </w:r>
      <w:r w:rsidRPr="00D405E3">
        <w:rPr>
          <w:i/>
        </w:rPr>
        <w:t>to be able to</w:t>
      </w:r>
      <w:r w:rsidR="00551988">
        <w:t xml:space="preserve"> semi-statically </w:t>
      </w:r>
      <w:r w:rsidR="00221DCF">
        <w:t xml:space="preserve">separate </w:t>
      </w:r>
      <w:r>
        <w:t>transmissions using different numerologies</w:t>
      </w:r>
      <w:r w:rsidR="00551988">
        <w:t xml:space="preserve"> in the frequency domain</w:t>
      </w:r>
      <w:r>
        <w:t xml:space="preserve">. </w:t>
      </w:r>
      <w:r w:rsidR="00F07663">
        <w:t>This is, for example, needed</w:t>
      </w:r>
      <w:r w:rsidR="00551988">
        <w:t xml:space="preserve"> if inter-numerology interference is to be suppressed by </w:t>
      </w:r>
      <w:r w:rsidR="00F07663">
        <w:t xml:space="preserve">semi-static </w:t>
      </w:r>
      <w:r w:rsidR="00551988">
        <w:t xml:space="preserve">intra-carrier spectrum confinement. </w:t>
      </w:r>
      <w:r w:rsidR="00221DCF">
        <w:t>For the PDCCH, t</w:t>
      </w:r>
      <w:r>
        <w:t>his can straightforwardly be done by associatin</w:t>
      </w:r>
      <w:r w:rsidR="00D405E3">
        <w:t>g different PDCCH numerologies</w:t>
      </w:r>
      <w:r>
        <w:t xml:space="preserve"> </w:t>
      </w:r>
      <w:r w:rsidR="00D405E3">
        <w:t xml:space="preserve">configured for a UE </w:t>
      </w:r>
      <w:r>
        <w:t>with different frequency non-overlapping</w:t>
      </w:r>
      <w:r w:rsidR="009E3611">
        <w:t xml:space="preserve"> CORESETs</w:t>
      </w:r>
      <w:r>
        <w:t xml:space="preserve">. </w:t>
      </w:r>
    </w:p>
    <w:p w14:paraId="0EB698BA" w14:textId="41A14E4B" w:rsidR="00B127E7" w:rsidRDefault="00691662" w:rsidP="00F6095F">
      <w:pPr>
        <w:pStyle w:val="BodyText"/>
      </w:pPr>
      <w:r>
        <w:t xml:space="preserve">Thus, each configured numerology should be associated with its with its own </w:t>
      </w:r>
      <w:r w:rsidR="00221DCF">
        <w:t>configured</w:t>
      </w:r>
      <w:r>
        <w:t xml:space="preserve"> CORESE</w:t>
      </w:r>
      <w:r w:rsidR="00D405E3">
        <w:t>T</w:t>
      </w:r>
      <w:r>
        <w:t>.</w:t>
      </w:r>
    </w:p>
    <w:p w14:paraId="268299C0" w14:textId="7E35D6F5" w:rsidR="00965D87" w:rsidRPr="00C35C52" w:rsidRDefault="00BE7F9D" w:rsidP="00965D87">
      <w:pPr>
        <w:pStyle w:val="BodyText"/>
        <w:rPr>
          <w:b/>
        </w:rPr>
      </w:pPr>
      <w:r>
        <w:rPr>
          <w:b/>
        </w:rPr>
        <w:lastRenderedPageBreak/>
        <w:t>Proposed agreements</w:t>
      </w:r>
      <w:r w:rsidR="00965D87" w:rsidRPr="00C35C52">
        <w:rPr>
          <w:b/>
        </w:rPr>
        <w:t xml:space="preserve">: </w:t>
      </w:r>
    </w:p>
    <w:p w14:paraId="7B512BD2" w14:textId="5CD24F4A" w:rsidR="00965D87" w:rsidRPr="00BE7F9D" w:rsidRDefault="00965D87" w:rsidP="00965D87">
      <w:pPr>
        <w:pStyle w:val="BodyText"/>
        <w:numPr>
          <w:ilvl w:val="0"/>
          <w:numId w:val="40"/>
        </w:numPr>
        <w:rPr>
          <w:i/>
        </w:rPr>
      </w:pPr>
      <w:r w:rsidRPr="00BE7F9D">
        <w:rPr>
          <w:i/>
        </w:rPr>
        <w:t xml:space="preserve">A UE can be configured to monitor for PDCCH on one or multiple </w:t>
      </w:r>
      <w:r w:rsidR="00343AA2">
        <w:rPr>
          <w:i/>
        </w:rPr>
        <w:t xml:space="preserve">PDCCH </w:t>
      </w:r>
      <w:r w:rsidRPr="00BE7F9D">
        <w:rPr>
          <w:i/>
        </w:rPr>
        <w:t xml:space="preserve">numerologies. </w:t>
      </w:r>
    </w:p>
    <w:p w14:paraId="0EE0F99B" w14:textId="1F5D3D04" w:rsidR="00221DCF" w:rsidRDefault="004C60B9" w:rsidP="00965D87">
      <w:pPr>
        <w:pStyle w:val="BodyText"/>
        <w:numPr>
          <w:ilvl w:val="0"/>
          <w:numId w:val="40"/>
        </w:numPr>
        <w:rPr>
          <w:i/>
        </w:rPr>
      </w:pPr>
      <w:r>
        <w:rPr>
          <w:i/>
        </w:rPr>
        <w:t xml:space="preserve">UE </w:t>
      </w:r>
      <w:r w:rsidR="00E43A7F">
        <w:rPr>
          <w:i/>
        </w:rPr>
        <w:t xml:space="preserve">configuration </w:t>
      </w:r>
      <w:r>
        <w:rPr>
          <w:i/>
        </w:rPr>
        <w:t>for PDCCH mon</w:t>
      </w:r>
      <w:r w:rsidR="009E3611">
        <w:rPr>
          <w:i/>
        </w:rPr>
        <w:t>itoring</w:t>
      </w:r>
      <w:r>
        <w:rPr>
          <w:i/>
        </w:rPr>
        <w:t xml:space="preserve"> </w:t>
      </w:r>
      <w:r w:rsidR="00E43A7F">
        <w:rPr>
          <w:i/>
        </w:rPr>
        <w:t>includes</w:t>
      </w:r>
      <w:r w:rsidR="00221DCF">
        <w:rPr>
          <w:i/>
        </w:rPr>
        <w:t xml:space="preserve"> at least</w:t>
      </w:r>
      <w:r w:rsidR="00E43A7F">
        <w:rPr>
          <w:i/>
        </w:rPr>
        <w:t xml:space="preserve"> </w:t>
      </w:r>
    </w:p>
    <w:p w14:paraId="0D9CD00E" w14:textId="34C16E67" w:rsidR="00221DCF" w:rsidRDefault="009E3611" w:rsidP="00221DCF">
      <w:pPr>
        <w:pStyle w:val="BodyText"/>
        <w:numPr>
          <w:ilvl w:val="1"/>
          <w:numId w:val="40"/>
        </w:numPr>
        <w:rPr>
          <w:i/>
        </w:rPr>
      </w:pPr>
      <w:r>
        <w:rPr>
          <w:i/>
        </w:rPr>
        <w:t>A</w:t>
      </w:r>
      <w:r w:rsidR="00B27804">
        <w:rPr>
          <w:i/>
        </w:rPr>
        <w:t xml:space="preserve"> </w:t>
      </w:r>
      <w:r>
        <w:rPr>
          <w:i/>
        </w:rPr>
        <w:t xml:space="preserve">PDCCH </w:t>
      </w:r>
      <w:r w:rsidR="00B27804">
        <w:rPr>
          <w:i/>
        </w:rPr>
        <w:t>numerology</w:t>
      </w:r>
      <w:r w:rsidR="00E43A7F">
        <w:rPr>
          <w:i/>
        </w:rPr>
        <w:t xml:space="preserve"> </w:t>
      </w:r>
    </w:p>
    <w:p w14:paraId="28A1EC9B" w14:textId="46933E6C" w:rsidR="00221DCF" w:rsidRDefault="00221DCF" w:rsidP="00221DCF">
      <w:pPr>
        <w:pStyle w:val="BodyText"/>
        <w:numPr>
          <w:ilvl w:val="1"/>
          <w:numId w:val="40"/>
        </w:numPr>
        <w:rPr>
          <w:i/>
        </w:rPr>
      </w:pPr>
      <w:r>
        <w:rPr>
          <w:i/>
        </w:rPr>
        <w:t>A</w:t>
      </w:r>
      <w:r w:rsidR="00E43A7F">
        <w:rPr>
          <w:i/>
        </w:rPr>
        <w:t xml:space="preserve"> CORES</w:t>
      </w:r>
      <w:r w:rsidR="009E3611">
        <w:rPr>
          <w:i/>
        </w:rPr>
        <w:t>ET within the</w:t>
      </w:r>
      <w:r>
        <w:rPr>
          <w:i/>
        </w:rPr>
        <w:t xml:space="preserve"> configured numerology</w:t>
      </w:r>
    </w:p>
    <w:p w14:paraId="740B05A8" w14:textId="69CBD47B" w:rsidR="00965D87" w:rsidRDefault="00221DCF" w:rsidP="00221DCF">
      <w:pPr>
        <w:pStyle w:val="BodyText"/>
        <w:numPr>
          <w:ilvl w:val="1"/>
          <w:numId w:val="40"/>
        </w:numPr>
        <w:rPr>
          <w:i/>
        </w:rPr>
      </w:pPr>
      <w:r>
        <w:rPr>
          <w:i/>
        </w:rPr>
        <w:t>A</w:t>
      </w:r>
      <w:r w:rsidR="00E43A7F">
        <w:rPr>
          <w:i/>
        </w:rPr>
        <w:t xml:space="preserve"> se</w:t>
      </w:r>
      <w:r w:rsidR="004C60B9">
        <w:rPr>
          <w:i/>
        </w:rPr>
        <w:t xml:space="preserve">arch space </w:t>
      </w:r>
      <w:r w:rsidR="009E3611">
        <w:rPr>
          <w:i/>
        </w:rPr>
        <w:t>within the</w:t>
      </w:r>
      <w:r>
        <w:rPr>
          <w:i/>
        </w:rPr>
        <w:t xml:space="preserve"> configured</w:t>
      </w:r>
      <w:r w:rsidR="00E43A7F">
        <w:rPr>
          <w:i/>
        </w:rPr>
        <w:t xml:space="preserve"> CORESET.</w:t>
      </w:r>
    </w:p>
    <w:p w14:paraId="676949C1" w14:textId="748ED2C7" w:rsidR="00F6095F" w:rsidRDefault="009E3611" w:rsidP="00F6095F">
      <w:pPr>
        <w:pStyle w:val="BodyText"/>
      </w:pPr>
      <w:r>
        <w:t>S</w:t>
      </w:r>
      <w:r w:rsidR="00D405E3">
        <w:t>emi-static frequency separation of different numerologies</w:t>
      </w:r>
      <w:r>
        <w:t xml:space="preserve"> is one</w:t>
      </w:r>
      <w:r w:rsidR="00F6095F">
        <w:t xml:space="preserve"> way</w:t>
      </w:r>
      <w:r w:rsidR="00D66458">
        <w:t xml:space="preserve"> to operate multi-numerology </w:t>
      </w:r>
      <w:r>
        <w:t>carrier. However</w:t>
      </w:r>
      <w:r w:rsidR="00D405E3">
        <w:t xml:space="preserve"> more dynamic separation should </w:t>
      </w:r>
      <w:r w:rsidR="00D66458">
        <w:t xml:space="preserve">also </w:t>
      </w:r>
      <w:r w:rsidR="00D405E3">
        <w:t xml:space="preserve">be possible including </w:t>
      </w:r>
    </w:p>
    <w:p w14:paraId="3AD9EE33" w14:textId="3BF845E8" w:rsidR="00D405E3" w:rsidRDefault="00B27804" w:rsidP="00D405E3">
      <w:pPr>
        <w:pStyle w:val="BodyText"/>
        <w:numPr>
          <w:ilvl w:val="0"/>
          <w:numId w:val="40"/>
        </w:numPr>
      </w:pPr>
      <w:r>
        <w:t xml:space="preserve">Dynamic separation in </w:t>
      </w:r>
      <w:r w:rsidR="00D66458">
        <w:t>the time domain</w:t>
      </w:r>
    </w:p>
    <w:p w14:paraId="0EE62D0D" w14:textId="4F9D837C" w:rsidR="00D405E3" w:rsidRDefault="00D405E3" w:rsidP="00D405E3">
      <w:pPr>
        <w:pStyle w:val="BodyText"/>
        <w:numPr>
          <w:ilvl w:val="0"/>
          <w:numId w:val="40"/>
        </w:numPr>
      </w:pPr>
      <w:r>
        <w:t xml:space="preserve">Dynamic separation in </w:t>
      </w:r>
      <w:r w:rsidR="00D66458">
        <w:t xml:space="preserve">the </w:t>
      </w:r>
      <w:r>
        <w:t>frequency</w:t>
      </w:r>
      <w:r w:rsidR="00D66458">
        <w:t xml:space="preserve"> domain</w:t>
      </w:r>
      <w:r>
        <w:t xml:space="preserve"> with the scheduler providing potential intra-carrier </w:t>
      </w:r>
      <w:proofErr w:type="spellStart"/>
      <w:r>
        <w:t>guardbands</w:t>
      </w:r>
      <w:proofErr w:type="spellEnd"/>
      <w:r>
        <w:t xml:space="preserve"> to support inter-numerology interference. </w:t>
      </w:r>
    </w:p>
    <w:p w14:paraId="5BEE8529" w14:textId="3E9E9712" w:rsidR="00D405E3" w:rsidRDefault="00D405E3" w:rsidP="00D405E3">
      <w:pPr>
        <w:pStyle w:val="BodyText"/>
      </w:pPr>
      <w:r>
        <w:t>In t</w:t>
      </w:r>
      <w:r w:rsidR="00D66458">
        <w:t>he context of PDCCH monitoring</w:t>
      </w:r>
      <w:r>
        <w:t xml:space="preserve"> this means that the configured CORESETs </w:t>
      </w:r>
      <w:r w:rsidR="00343AA2">
        <w:t xml:space="preserve">corresponding to different </w:t>
      </w:r>
      <w:r w:rsidR="00D66458">
        <w:t xml:space="preserve">configured </w:t>
      </w:r>
      <w:r w:rsidR="00343AA2">
        <w:t xml:space="preserve">PDCCH numerologies may also overlap in the frequency domain. </w:t>
      </w:r>
    </w:p>
    <w:p w14:paraId="475FC675" w14:textId="2E2C59D3" w:rsidR="00F6095F" w:rsidRPr="00BE7F9D" w:rsidRDefault="00965D87" w:rsidP="00F6095F">
      <w:pPr>
        <w:pStyle w:val="BodyText"/>
        <w:rPr>
          <w:b/>
        </w:rPr>
      </w:pPr>
      <w:r w:rsidRPr="00BE7F9D">
        <w:rPr>
          <w:b/>
        </w:rPr>
        <w:t>Proposed agreement:</w:t>
      </w:r>
    </w:p>
    <w:p w14:paraId="3C127CB9" w14:textId="3B1DC8AB" w:rsidR="00343AA2" w:rsidRDefault="008B062D" w:rsidP="00343AA2">
      <w:pPr>
        <w:pStyle w:val="BodyText"/>
        <w:numPr>
          <w:ilvl w:val="0"/>
          <w:numId w:val="40"/>
        </w:numPr>
        <w:rPr>
          <w:i/>
        </w:rPr>
      </w:pPr>
      <w:r w:rsidRPr="00343AA2">
        <w:rPr>
          <w:i/>
        </w:rPr>
        <w:t xml:space="preserve">CORESETs corresponding to different </w:t>
      </w:r>
      <w:r w:rsidR="00D66458">
        <w:rPr>
          <w:i/>
        </w:rPr>
        <w:t xml:space="preserve">configured </w:t>
      </w:r>
      <w:r w:rsidR="00343AA2">
        <w:rPr>
          <w:i/>
        </w:rPr>
        <w:t xml:space="preserve">PDCCH </w:t>
      </w:r>
      <w:r w:rsidRPr="00343AA2">
        <w:rPr>
          <w:i/>
        </w:rPr>
        <w:t>numerologies may overlap in the frequency domain</w:t>
      </w:r>
    </w:p>
    <w:p w14:paraId="00F62D2B" w14:textId="3AADC65F" w:rsidR="00343AA2" w:rsidRDefault="009E3611" w:rsidP="00343AA2">
      <w:pPr>
        <w:pStyle w:val="Heading1"/>
      </w:pPr>
      <w:r>
        <w:t>PD</w:t>
      </w:r>
      <w:r w:rsidR="00343AA2" w:rsidRPr="00343AA2">
        <w:t>SCH numerology</w:t>
      </w:r>
    </w:p>
    <w:p w14:paraId="18A9543B" w14:textId="1EC7A81F" w:rsidR="00700B6B" w:rsidRDefault="00D66458" w:rsidP="00700B6B">
      <w:pPr>
        <w:pStyle w:val="BodyText"/>
      </w:pPr>
      <w:r>
        <w:t>The PDSCH numerology can be explicitly signaled as part of the DCI</w:t>
      </w:r>
      <w:r w:rsidR="00700B6B">
        <w:t>. Alternatively or complementary, the PDSCH numerology may depend on a combination of the PDCCH numerology and the carrier on which the PDSCH is transmitted. For example</w:t>
      </w:r>
    </w:p>
    <w:p w14:paraId="5D19956E" w14:textId="52200EC5" w:rsidR="00700B6B" w:rsidRDefault="00700B6B" w:rsidP="00700B6B">
      <w:pPr>
        <w:pStyle w:val="BodyText"/>
        <w:numPr>
          <w:ilvl w:val="0"/>
          <w:numId w:val="40"/>
        </w:numPr>
      </w:pPr>
      <w:r>
        <w:t>In case of same-carrier sch</w:t>
      </w:r>
      <w:r w:rsidR="00B27804">
        <w:t xml:space="preserve">eduling, the PDSCH numerology could be </w:t>
      </w:r>
      <w:r>
        <w:t>the same as the PDCCH numerology</w:t>
      </w:r>
    </w:p>
    <w:p w14:paraId="00D1E52F" w14:textId="2A3CC1BD" w:rsidR="00D66458" w:rsidRPr="00E43A7F" w:rsidRDefault="00700B6B" w:rsidP="00700B6B">
      <w:pPr>
        <w:pStyle w:val="BodyText"/>
        <w:numPr>
          <w:ilvl w:val="0"/>
          <w:numId w:val="40"/>
        </w:numPr>
      </w:pPr>
      <w:r>
        <w:t>In case of cross-carrier sch</w:t>
      </w:r>
      <w:r w:rsidR="00B27804">
        <w:t>eduling, the PDSCH numerology could be</w:t>
      </w:r>
      <w:r>
        <w:t xml:space="preserve"> given by the carrier on which PDSCH is transmitted</w:t>
      </w:r>
      <w:r w:rsidR="00B27804">
        <w:t xml:space="preserve"> in a configurable manner</w:t>
      </w:r>
      <w:r>
        <w:t>.</w:t>
      </w:r>
    </w:p>
    <w:p w14:paraId="16B4198B" w14:textId="77777777" w:rsidR="00700B6B" w:rsidRPr="00BE7F9D" w:rsidRDefault="00700B6B" w:rsidP="00700B6B">
      <w:pPr>
        <w:pStyle w:val="BodyText"/>
        <w:rPr>
          <w:b/>
        </w:rPr>
      </w:pPr>
      <w:r w:rsidRPr="00BE7F9D">
        <w:rPr>
          <w:b/>
        </w:rPr>
        <w:t>Proposed agreement:</w:t>
      </w:r>
    </w:p>
    <w:p w14:paraId="12D3126D" w14:textId="2662DAF4" w:rsidR="00343AA2" w:rsidRPr="00700B6B" w:rsidRDefault="00700B6B" w:rsidP="00343AA2">
      <w:pPr>
        <w:pStyle w:val="BodyText"/>
        <w:rPr>
          <w:i/>
        </w:rPr>
      </w:pPr>
      <w:r w:rsidRPr="00700B6B">
        <w:rPr>
          <w:i/>
        </w:rPr>
        <w:t>The PDSCH numerology can be explicitly signaled as part of the DCI. Alternatively or complementary, the PDSCH numerology may be given by a combination of the PDCCH numerology and the carrier on which the PDSCH is transmitted.</w:t>
      </w:r>
    </w:p>
    <w:p w14:paraId="3D616B6E" w14:textId="5D632464" w:rsidR="00700B6B" w:rsidRDefault="00700B6B" w:rsidP="00343AA2">
      <w:pPr>
        <w:pStyle w:val="BodyText"/>
      </w:pPr>
    </w:p>
    <w:p w14:paraId="5F89587D" w14:textId="329B193E" w:rsidR="00700B6B" w:rsidRDefault="009E3611" w:rsidP="00700B6B">
      <w:pPr>
        <w:pStyle w:val="Heading1"/>
      </w:pPr>
      <w:r>
        <w:t>PU</w:t>
      </w:r>
      <w:r w:rsidR="00700B6B" w:rsidRPr="00343AA2">
        <w:t>SCH numerology</w:t>
      </w:r>
    </w:p>
    <w:p w14:paraId="0AB3D4B1" w14:textId="4BAE53DF" w:rsidR="00700B6B" w:rsidRPr="00E43A7F" w:rsidRDefault="00700B6B" w:rsidP="00700B6B">
      <w:pPr>
        <w:pStyle w:val="BodyText"/>
      </w:pPr>
      <w:r>
        <w:t xml:space="preserve">Like PDSCH, the PUSCH numerology can be explicitly signaled as part of the DCI. Alternatively or complementary, the PUSCH numerology may depend on a combination of the PDCCH numerology and the carrier on which the PUSCH is to be transmitted. </w:t>
      </w:r>
    </w:p>
    <w:p w14:paraId="2FF34BA4" w14:textId="77777777" w:rsidR="00700B6B" w:rsidRPr="00BE7F9D" w:rsidRDefault="00700B6B" w:rsidP="00700B6B">
      <w:pPr>
        <w:pStyle w:val="BodyText"/>
        <w:rPr>
          <w:b/>
        </w:rPr>
      </w:pPr>
      <w:r w:rsidRPr="00BE7F9D">
        <w:rPr>
          <w:b/>
        </w:rPr>
        <w:t>Proposed agreement:</w:t>
      </w:r>
    </w:p>
    <w:p w14:paraId="3F77EA78" w14:textId="48E5C63A" w:rsidR="00700B6B" w:rsidRPr="00700B6B" w:rsidRDefault="00700B6B" w:rsidP="00343AA2">
      <w:pPr>
        <w:pStyle w:val="BodyText"/>
        <w:rPr>
          <w:i/>
        </w:rPr>
      </w:pPr>
      <w:r w:rsidRPr="00700B6B">
        <w:rPr>
          <w:i/>
        </w:rPr>
        <w:t>The PUSCH numerology can be explicitly signaled as part of the DCI. Alternatively or complementary, the PUSCH numerology may depend on a combination of the PDCCH numerology and the carrier on which the PUSCH is to be transmitted.</w:t>
      </w:r>
    </w:p>
    <w:p w14:paraId="4D65580A" w14:textId="3EE2F89E" w:rsidR="00343AA2" w:rsidRDefault="00700B6B" w:rsidP="00343AA2">
      <w:pPr>
        <w:pStyle w:val="Heading1"/>
      </w:pPr>
      <w:r>
        <w:t>Propose</w:t>
      </w:r>
      <w:r w:rsidR="00343AA2">
        <w:t>d agreements:</w:t>
      </w:r>
    </w:p>
    <w:p w14:paraId="50D4D5E8" w14:textId="77777777" w:rsidR="00C57729" w:rsidRPr="00626A33" w:rsidRDefault="00C57729" w:rsidP="00C57729">
      <w:pPr>
        <w:pStyle w:val="BodyText"/>
        <w:numPr>
          <w:ilvl w:val="0"/>
          <w:numId w:val="42"/>
        </w:numPr>
        <w:tabs>
          <w:tab w:val="left" w:pos="993"/>
        </w:tabs>
        <w:rPr>
          <w:b/>
        </w:rPr>
      </w:pPr>
      <w:r>
        <w:rPr>
          <w:i/>
        </w:rPr>
        <w:t>NR allows for different numerology for PDCCH and the corresponding scheduled PDSCH, at least in case of cross-carrier scheduling.</w:t>
      </w:r>
    </w:p>
    <w:p w14:paraId="0F876170" w14:textId="77777777" w:rsidR="00C57729" w:rsidRPr="00F6095F" w:rsidRDefault="00C57729" w:rsidP="00C57729">
      <w:pPr>
        <w:pStyle w:val="BodyText"/>
        <w:numPr>
          <w:ilvl w:val="0"/>
          <w:numId w:val="42"/>
        </w:numPr>
        <w:rPr>
          <w:b/>
        </w:rPr>
      </w:pPr>
      <w:r>
        <w:rPr>
          <w:i/>
        </w:rPr>
        <w:t>NR allows for different numerology for PDCCH and the corresponding scheduled PUSCH</w:t>
      </w:r>
    </w:p>
    <w:p w14:paraId="2CE64CAB" w14:textId="77777777" w:rsidR="00C57729" w:rsidRPr="00BE7F9D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BE7F9D">
        <w:rPr>
          <w:i/>
        </w:rPr>
        <w:t xml:space="preserve">A UE can be configured to monitor for PDCCH on one or multiple </w:t>
      </w:r>
      <w:r>
        <w:rPr>
          <w:i/>
        </w:rPr>
        <w:t xml:space="preserve">PDCCH </w:t>
      </w:r>
      <w:r w:rsidRPr="00BE7F9D">
        <w:rPr>
          <w:i/>
        </w:rPr>
        <w:t xml:space="preserve">numerologies. </w:t>
      </w:r>
    </w:p>
    <w:p w14:paraId="1A180A0D" w14:textId="77777777" w:rsidR="00C57729" w:rsidRDefault="00C57729" w:rsidP="00C57729">
      <w:pPr>
        <w:pStyle w:val="BodyText"/>
        <w:numPr>
          <w:ilvl w:val="0"/>
          <w:numId w:val="42"/>
        </w:numPr>
        <w:rPr>
          <w:i/>
        </w:rPr>
      </w:pPr>
      <w:r>
        <w:rPr>
          <w:i/>
        </w:rPr>
        <w:t xml:space="preserve">UE configuration for PDCCH monitoring includes at least </w:t>
      </w:r>
    </w:p>
    <w:p w14:paraId="2746449B" w14:textId="77777777" w:rsidR="00C57729" w:rsidRDefault="00C57729" w:rsidP="00C57729">
      <w:pPr>
        <w:pStyle w:val="BodyText"/>
        <w:numPr>
          <w:ilvl w:val="1"/>
          <w:numId w:val="42"/>
        </w:numPr>
        <w:rPr>
          <w:i/>
        </w:rPr>
      </w:pPr>
      <w:r>
        <w:rPr>
          <w:i/>
        </w:rPr>
        <w:t xml:space="preserve">A PDCCH numerology </w:t>
      </w:r>
    </w:p>
    <w:p w14:paraId="4DC2A468" w14:textId="77777777" w:rsidR="00C57729" w:rsidRDefault="00C57729" w:rsidP="00C57729">
      <w:pPr>
        <w:pStyle w:val="BodyText"/>
        <w:numPr>
          <w:ilvl w:val="1"/>
          <w:numId w:val="42"/>
        </w:numPr>
        <w:rPr>
          <w:i/>
        </w:rPr>
      </w:pPr>
      <w:r>
        <w:rPr>
          <w:i/>
        </w:rPr>
        <w:lastRenderedPageBreak/>
        <w:t>A CORESET within the configured numerology</w:t>
      </w:r>
    </w:p>
    <w:p w14:paraId="3F2A092A" w14:textId="77777777" w:rsidR="00C57729" w:rsidRDefault="00C57729" w:rsidP="00C57729">
      <w:pPr>
        <w:pStyle w:val="BodyText"/>
        <w:numPr>
          <w:ilvl w:val="1"/>
          <w:numId w:val="42"/>
        </w:numPr>
        <w:rPr>
          <w:i/>
        </w:rPr>
      </w:pPr>
      <w:r>
        <w:rPr>
          <w:i/>
        </w:rPr>
        <w:t>A search space within the configured CORESET.</w:t>
      </w:r>
    </w:p>
    <w:p w14:paraId="217963A0" w14:textId="77777777" w:rsidR="00C57729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343AA2">
        <w:rPr>
          <w:i/>
        </w:rPr>
        <w:t xml:space="preserve">CORESETs corresponding to different </w:t>
      </w:r>
      <w:r>
        <w:rPr>
          <w:i/>
        </w:rPr>
        <w:t xml:space="preserve">configured PDCCH </w:t>
      </w:r>
      <w:r w:rsidRPr="00343AA2">
        <w:rPr>
          <w:i/>
        </w:rPr>
        <w:t>numerologies may overlap in the frequency domain</w:t>
      </w:r>
    </w:p>
    <w:p w14:paraId="788886D5" w14:textId="77777777" w:rsidR="00C57729" w:rsidRPr="00700B6B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700B6B">
        <w:rPr>
          <w:i/>
        </w:rPr>
        <w:t>The PDSCH numerology can be explicitly signaled as part of the DCI. Alternatively or complementary, the PDSCH numerology may be given by a combination of the PDCCH numerology and the carrier on which the PDSCH is transmitted.</w:t>
      </w:r>
    </w:p>
    <w:p w14:paraId="09AD0689" w14:textId="77777777" w:rsidR="00C57729" w:rsidRPr="00700B6B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700B6B">
        <w:rPr>
          <w:i/>
        </w:rPr>
        <w:t>The PUSCH numerology can be explicitly signaled as part of the DCI. Alternatively or complementary, the PUSCH numerology may depend on a combination of the PDCCH numerology and the carrier on which the PUSCH is to be transmitted.</w:t>
      </w:r>
    </w:p>
    <w:p w14:paraId="6F7C2FE4" w14:textId="77777777" w:rsidR="00343AA2" w:rsidRDefault="00343AA2" w:rsidP="00700B6B">
      <w:pPr>
        <w:pStyle w:val="BodyText"/>
        <w:rPr>
          <w:i/>
        </w:rPr>
      </w:pPr>
    </w:p>
    <w:p w14:paraId="72DD46FC" w14:textId="77777777" w:rsidR="00343AA2" w:rsidRDefault="00343AA2" w:rsidP="00343AA2">
      <w:pPr>
        <w:pStyle w:val="BodyText"/>
      </w:pPr>
    </w:p>
    <w:p w14:paraId="53CFB9A2" w14:textId="77777777" w:rsidR="00343AA2" w:rsidRPr="00343AA2" w:rsidRDefault="00343AA2" w:rsidP="00343AA2">
      <w:pPr>
        <w:pStyle w:val="BodyText"/>
      </w:pPr>
    </w:p>
    <w:p w14:paraId="4832C566" w14:textId="77777777" w:rsidR="00A43ECD" w:rsidRPr="00A43ECD" w:rsidRDefault="00A43ECD" w:rsidP="00B127E7">
      <w:pPr>
        <w:pStyle w:val="BodyText"/>
      </w:pPr>
    </w:p>
    <w:sectPr w:rsidR="00A43ECD" w:rsidRPr="00A43E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41ABD" w14:textId="77777777" w:rsidR="0054356C" w:rsidRDefault="0054356C">
      <w:r>
        <w:separator/>
      </w:r>
    </w:p>
  </w:endnote>
  <w:endnote w:type="continuationSeparator" w:id="0">
    <w:p w14:paraId="00EA4A4C" w14:textId="77777777" w:rsidR="0054356C" w:rsidRDefault="0054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D49CA" w14:textId="77777777" w:rsidR="0054356C" w:rsidRDefault="0054356C">
      <w:r>
        <w:separator/>
      </w:r>
    </w:p>
  </w:footnote>
  <w:footnote w:type="continuationSeparator" w:id="0">
    <w:p w14:paraId="6E8D57F3" w14:textId="77777777" w:rsidR="0054356C" w:rsidRDefault="00543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691662" w:rsidRDefault="00691662" w:rsidP="00E42957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97606"/>
    <w:multiLevelType w:val="hybridMultilevel"/>
    <w:tmpl w:val="1C58C826"/>
    <w:lvl w:ilvl="0" w:tplc="C186B48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60CD"/>
    <w:multiLevelType w:val="hybridMultilevel"/>
    <w:tmpl w:val="3F06440E"/>
    <w:lvl w:ilvl="0" w:tplc="316E8F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67041"/>
    <w:multiLevelType w:val="hybridMultilevel"/>
    <w:tmpl w:val="F3885BD8"/>
    <w:lvl w:ilvl="0" w:tplc="8C5AD3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5B4EFC"/>
    <w:multiLevelType w:val="hybridMultilevel"/>
    <w:tmpl w:val="8130A08E"/>
    <w:lvl w:ilvl="0" w:tplc="D5BC4536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320C8"/>
    <w:multiLevelType w:val="hybridMultilevel"/>
    <w:tmpl w:val="6EE4AC6C"/>
    <w:lvl w:ilvl="0" w:tplc="30BC1B9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D3B1B"/>
    <w:multiLevelType w:val="hybridMultilevel"/>
    <w:tmpl w:val="443893C2"/>
    <w:lvl w:ilvl="0" w:tplc="AB4ABB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B6076"/>
    <w:multiLevelType w:val="hybridMultilevel"/>
    <w:tmpl w:val="8F3690F8"/>
    <w:lvl w:ilvl="0" w:tplc="22BE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1830">
      <w:start w:val="19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A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E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E4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D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0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20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E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81548C"/>
    <w:multiLevelType w:val="hybridMultilevel"/>
    <w:tmpl w:val="2DB6111A"/>
    <w:lvl w:ilvl="0" w:tplc="A33CB45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C24B14"/>
    <w:multiLevelType w:val="hybridMultilevel"/>
    <w:tmpl w:val="4168AE6E"/>
    <w:lvl w:ilvl="0" w:tplc="E2903F06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14808"/>
    <w:multiLevelType w:val="hybridMultilevel"/>
    <w:tmpl w:val="C972B12A"/>
    <w:lvl w:ilvl="0" w:tplc="60DAFF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E4F47"/>
    <w:multiLevelType w:val="hybridMultilevel"/>
    <w:tmpl w:val="81B8CD1E"/>
    <w:lvl w:ilvl="0" w:tplc="0BDEB98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611A6"/>
    <w:multiLevelType w:val="hybridMultilevel"/>
    <w:tmpl w:val="13EEDF64"/>
    <w:lvl w:ilvl="0" w:tplc="5D7A77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D7C43"/>
    <w:multiLevelType w:val="hybridMultilevel"/>
    <w:tmpl w:val="2C44AF6E"/>
    <w:lvl w:ilvl="0" w:tplc="EE468E1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C6904"/>
    <w:multiLevelType w:val="hybridMultilevel"/>
    <w:tmpl w:val="0750D498"/>
    <w:lvl w:ilvl="0" w:tplc="2326DA8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F21BF"/>
    <w:multiLevelType w:val="hybridMultilevel"/>
    <w:tmpl w:val="E312BCF4"/>
    <w:lvl w:ilvl="0" w:tplc="19460A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65062"/>
    <w:multiLevelType w:val="hybridMultilevel"/>
    <w:tmpl w:val="BC94F59A"/>
    <w:lvl w:ilvl="0" w:tplc="EC86876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E2F61"/>
    <w:multiLevelType w:val="hybridMultilevel"/>
    <w:tmpl w:val="D3AAD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414CE"/>
    <w:multiLevelType w:val="hybridMultilevel"/>
    <w:tmpl w:val="DBF2546E"/>
    <w:lvl w:ilvl="0" w:tplc="B8EA9384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0"/>
  </w:num>
  <w:num w:numId="2">
    <w:abstractNumId w:val="15"/>
  </w:num>
  <w:num w:numId="3">
    <w:abstractNumId w:val="8"/>
  </w:num>
  <w:num w:numId="4">
    <w:abstractNumId w:val="18"/>
  </w:num>
  <w:num w:numId="5">
    <w:abstractNumId w:val="11"/>
  </w:num>
  <w:num w:numId="6">
    <w:abstractNumId w:val="6"/>
  </w:num>
  <w:num w:numId="7">
    <w:abstractNumId w:val="34"/>
  </w:num>
  <w:num w:numId="8">
    <w:abstractNumId w:val="40"/>
  </w:num>
  <w:num w:numId="9">
    <w:abstractNumId w:val="40"/>
  </w:num>
  <w:num w:numId="10">
    <w:abstractNumId w:val="37"/>
  </w:num>
  <w:num w:numId="11">
    <w:abstractNumId w:val="40"/>
  </w:num>
  <w:num w:numId="12">
    <w:abstractNumId w:val="33"/>
  </w:num>
  <w:num w:numId="13">
    <w:abstractNumId w:val="5"/>
  </w:num>
  <w:num w:numId="14">
    <w:abstractNumId w:val="7"/>
  </w:num>
  <w:num w:numId="15">
    <w:abstractNumId w:val="19"/>
  </w:num>
  <w:num w:numId="16">
    <w:abstractNumId w:val="4"/>
  </w:num>
  <w:num w:numId="17">
    <w:abstractNumId w:val="14"/>
  </w:num>
  <w:num w:numId="18">
    <w:abstractNumId w:val="25"/>
  </w:num>
  <w:num w:numId="19">
    <w:abstractNumId w:val="9"/>
  </w:num>
  <w:num w:numId="20">
    <w:abstractNumId w:val="12"/>
  </w:num>
  <w:num w:numId="21">
    <w:abstractNumId w:val="3"/>
  </w:num>
  <w:num w:numId="22">
    <w:abstractNumId w:val="16"/>
  </w:num>
  <w:num w:numId="23">
    <w:abstractNumId w:val="0"/>
  </w:num>
  <w:num w:numId="24">
    <w:abstractNumId w:val="39"/>
  </w:num>
  <w:num w:numId="25">
    <w:abstractNumId w:val="31"/>
  </w:num>
  <w:num w:numId="26">
    <w:abstractNumId w:val="17"/>
  </w:num>
  <w:num w:numId="27">
    <w:abstractNumId w:val="20"/>
  </w:num>
  <w:num w:numId="28">
    <w:abstractNumId w:val="27"/>
  </w:num>
  <w:num w:numId="29">
    <w:abstractNumId w:val="1"/>
  </w:num>
  <w:num w:numId="30">
    <w:abstractNumId w:val="10"/>
  </w:num>
  <w:num w:numId="31">
    <w:abstractNumId w:val="30"/>
  </w:num>
  <w:num w:numId="32">
    <w:abstractNumId w:val="21"/>
  </w:num>
  <w:num w:numId="33">
    <w:abstractNumId w:val="26"/>
  </w:num>
  <w:num w:numId="34">
    <w:abstractNumId w:val="38"/>
  </w:num>
  <w:num w:numId="35">
    <w:abstractNumId w:val="13"/>
  </w:num>
  <w:num w:numId="36">
    <w:abstractNumId w:val="36"/>
  </w:num>
  <w:num w:numId="37">
    <w:abstractNumId w:val="29"/>
  </w:num>
  <w:num w:numId="38">
    <w:abstractNumId w:val="35"/>
  </w:num>
  <w:num w:numId="39">
    <w:abstractNumId w:val="24"/>
  </w:num>
  <w:num w:numId="40">
    <w:abstractNumId w:val="22"/>
  </w:num>
  <w:num w:numId="41">
    <w:abstractNumId w:val="2"/>
  </w:num>
  <w:num w:numId="42">
    <w:abstractNumId w:val="28"/>
  </w:num>
  <w:num w:numId="43">
    <w:abstractNumId w:val="2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82643"/>
    <w:rsid w:val="000839DB"/>
    <w:rsid w:val="000851CC"/>
    <w:rsid w:val="000A258F"/>
    <w:rsid w:val="000A4880"/>
    <w:rsid w:val="000C052A"/>
    <w:rsid w:val="000D2A43"/>
    <w:rsid w:val="000E3C85"/>
    <w:rsid w:val="001018DF"/>
    <w:rsid w:val="00105444"/>
    <w:rsid w:val="0010795C"/>
    <w:rsid w:val="00112E18"/>
    <w:rsid w:val="00114B6A"/>
    <w:rsid w:val="00121305"/>
    <w:rsid w:val="00141448"/>
    <w:rsid w:val="001475DE"/>
    <w:rsid w:val="0015130F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2043AF"/>
    <w:rsid w:val="0021013F"/>
    <w:rsid w:val="00214784"/>
    <w:rsid w:val="00217942"/>
    <w:rsid w:val="00221DCF"/>
    <w:rsid w:val="002420F4"/>
    <w:rsid w:val="00260F3F"/>
    <w:rsid w:val="00290099"/>
    <w:rsid w:val="002A3774"/>
    <w:rsid w:val="002A6EF6"/>
    <w:rsid w:val="002B70E2"/>
    <w:rsid w:val="002C2D71"/>
    <w:rsid w:val="002D0AB6"/>
    <w:rsid w:val="002E104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43AA2"/>
    <w:rsid w:val="00350180"/>
    <w:rsid w:val="00354BB2"/>
    <w:rsid w:val="00356179"/>
    <w:rsid w:val="00361CA8"/>
    <w:rsid w:val="003661EB"/>
    <w:rsid w:val="00370039"/>
    <w:rsid w:val="0037486E"/>
    <w:rsid w:val="00377C86"/>
    <w:rsid w:val="00377FE8"/>
    <w:rsid w:val="0038621F"/>
    <w:rsid w:val="003875A3"/>
    <w:rsid w:val="003A3E47"/>
    <w:rsid w:val="003A73EF"/>
    <w:rsid w:val="003B31CA"/>
    <w:rsid w:val="003C58E2"/>
    <w:rsid w:val="003C6C36"/>
    <w:rsid w:val="003E6703"/>
    <w:rsid w:val="003F70FE"/>
    <w:rsid w:val="00402486"/>
    <w:rsid w:val="004067C0"/>
    <w:rsid w:val="00407820"/>
    <w:rsid w:val="004141B9"/>
    <w:rsid w:val="00422F7B"/>
    <w:rsid w:val="004430DF"/>
    <w:rsid w:val="00445E3C"/>
    <w:rsid w:val="00461897"/>
    <w:rsid w:val="00474FA7"/>
    <w:rsid w:val="004837C7"/>
    <w:rsid w:val="004A3F71"/>
    <w:rsid w:val="004B57FD"/>
    <w:rsid w:val="004B638A"/>
    <w:rsid w:val="004C321E"/>
    <w:rsid w:val="004C60B9"/>
    <w:rsid w:val="004C7205"/>
    <w:rsid w:val="004D0694"/>
    <w:rsid w:val="004E70DB"/>
    <w:rsid w:val="004F3110"/>
    <w:rsid w:val="00525831"/>
    <w:rsid w:val="00526719"/>
    <w:rsid w:val="00531E52"/>
    <w:rsid w:val="00537B4C"/>
    <w:rsid w:val="0054164C"/>
    <w:rsid w:val="00541E43"/>
    <w:rsid w:val="0054356C"/>
    <w:rsid w:val="00551988"/>
    <w:rsid w:val="0055264E"/>
    <w:rsid w:val="00553681"/>
    <w:rsid w:val="0056282E"/>
    <w:rsid w:val="00563652"/>
    <w:rsid w:val="00570BCE"/>
    <w:rsid w:val="00572BA4"/>
    <w:rsid w:val="00587AD2"/>
    <w:rsid w:val="00590538"/>
    <w:rsid w:val="00596C3C"/>
    <w:rsid w:val="005B5A6B"/>
    <w:rsid w:val="005B7717"/>
    <w:rsid w:val="005C439D"/>
    <w:rsid w:val="005C719E"/>
    <w:rsid w:val="005D093E"/>
    <w:rsid w:val="005D0CA4"/>
    <w:rsid w:val="005D7107"/>
    <w:rsid w:val="005E49BD"/>
    <w:rsid w:val="005F1EBA"/>
    <w:rsid w:val="0061336B"/>
    <w:rsid w:val="0062673F"/>
    <w:rsid w:val="00626A33"/>
    <w:rsid w:val="00655E5F"/>
    <w:rsid w:val="00656006"/>
    <w:rsid w:val="00656ECC"/>
    <w:rsid w:val="006625AC"/>
    <w:rsid w:val="006655B1"/>
    <w:rsid w:val="00665E2A"/>
    <w:rsid w:val="0067157B"/>
    <w:rsid w:val="006767BB"/>
    <w:rsid w:val="00686E0A"/>
    <w:rsid w:val="00691662"/>
    <w:rsid w:val="00694DD5"/>
    <w:rsid w:val="006A08D7"/>
    <w:rsid w:val="006A286A"/>
    <w:rsid w:val="006B271B"/>
    <w:rsid w:val="006E6062"/>
    <w:rsid w:val="006F2CEF"/>
    <w:rsid w:val="006F767D"/>
    <w:rsid w:val="00700B6B"/>
    <w:rsid w:val="0071569B"/>
    <w:rsid w:val="00733AAC"/>
    <w:rsid w:val="00747E05"/>
    <w:rsid w:val="007510A3"/>
    <w:rsid w:val="0075384C"/>
    <w:rsid w:val="007569CA"/>
    <w:rsid w:val="007659B5"/>
    <w:rsid w:val="007915B5"/>
    <w:rsid w:val="007936DA"/>
    <w:rsid w:val="00795931"/>
    <w:rsid w:val="007A01C0"/>
    <w:rsid w:val="007C3BF4"/>
    <w:rsid w:val="007D0A41"/>
    <w:rsid w:val="007D3353"/>
    <w:rsid w:val="008075E1"/>
    <w:rsid w:val="00815566"/>
    <w:rsid w:val="00834DE7"/>
    <w:rsid w:val="00853D21"/>
    <w:rsid w:val="00854E84"/>
    <w:rsid w:val="00855236"/>
    <w:rsid w:val="008560E2"/>
    <w:rsid w:val="008736BD"/>
    <w:rsid w:val="0087581E"/>
    <w:rsid w:val="008843AA"/>
    <w:rsid w:val="008920DF"/>
    <w:rsid w:val="008A0B64"/>
    <w:rsid w:val="008B062D"/>
    <w:rsid w:val="008B23D4"/>
    <w:rsid w:val="008E31D2"/>
    <w:rsid w:val="008E46BA"/>
    <w:rsid w:val="008E6B1A"/>
    <w:rsid w:val="008F3547"/>
    <w:rsid w:val="008F77A7"/>
    <w:rsid w:val="0090262B"/>
    <w:rsid w:val="00906583"/>
    <w:rsid w:val="0091288D"/>
    <w:rsid w:val="00920B45"/>
    <w:rsid w:val="0095674A"/>
    <w:rsid w:val="009576EC"/>
    <w:rsid w:val="009653FA"/>
    <w:rsid w:val="00965D87"/>
    <w:rsid w:val="0097401A"/>
    <w:rsid w:val="00987219"/>
    <w:rsid w:val="00987DD5"/>
    <w:rsid w:val="009A419A"/>
    <w:rsid w:val="009A4A26"/>
    <w:rsid w:val="009A6BB8"/>
    <w:rsid w:val="009B0E9E"/>
    <w:rsid w:val="009B2E48"/>
    <w:rsid w:val="009C2252"/>
    <w:rsid w:val="009C3C33"/>
    <w:rsid w:val="009C60EA"/>
    <w:rsid w:val="009E3611"/>
    <w:rsid w:val="009E70EF"/>
    <w:rsid w:val="009F4079"/>
    <w:rsid w:val="00A015E4"/>
    <w:rsid w:val="00A0740C"/>
    <w:rsid w:val="00A12843"/>
    <w:rsid w:val="00A16348"/>
    <w:rsid w:val="00A16AB2"/>
    <w:rsid w:val="00A3059E"/>
    <w:rsid w:val="00A37001"/>
    <w:rsid w:val="00A41E84"/>
    <w:rsid w:val="00A43ECD"/>
    <w:rsid w:val="00A47015"/>
    <w:rsid w:val="00A648DB"/>
    <w:rsid w:val="00A757B8"/>
    <w:rsid w:val="00A81AA1"/>
    <w:rsid w:val="00A85E54"/>
    <w:rsid w:val="00AA0A42"/>
    <w:rsid w:val="00AA13EF"/>
    <w:rsid w:val="00AA64B7"/>
    <w:rsid w:val="00AA7AE5"/>
    <w:rsid w:val="00AC1363"/>
    <w:rsid w:val="00AC2A5F"/>
    <w:rsid w:val="00AC6745"/>
    <w:rsid w:val="00AD3021"/>
    <w:rsid w:val="00AD6D43"/>
    <w:rsid w:val="00AE3947"/>
    <w:rsid w:val="00AE6E4B"/>
    <w:rsid w:val="00B00FDB"/>
    <w:rsid w:val="00B050E8"/>
    <w:rsid w:val="00B127E7"/>
    <w:rsid w:val="00B27804"/>
    <w:rsid w:val="00B32D01"/>
    <w:rsid w:val="00B368D9"/>
    <w:rsid w:val="00B52C5F"/>
    <w:rsid w:val="00B56492"/>
    <w:rsid w:val="00B74903"/>
    <w:rsid w:val="00BA0759"/>
    <w:rsid w:val="00BA2CDD"/>
    <w:rsid w:val="00BA3D9B"/>
    <w:rsid w:val="00BA76BC"/>
    <w:rsid w:val="00BB0BC2"/>
    <w:rsid w:val="00BB414C"/>
    <w:rsid w:val="00BE7F9D"/>
    <w:rsid w:val="00BF7E13"/>
    <w:rsid w:val="00C03087"/>
    <w:rsid w:val="00C102AD"/>
    <w:rsid w:val="00C1297D"/>
    <w:rsid w:val="00C1380C"/>
    <w:rsid w:val="00C1560A"/>
    <w:rsid w:val="00C166B7"/>
    <w:rsid w:val="00C326A6"/>
    <w:rsid w:val="00C3476C"/>
    <w:rsid w:val="00C50B3C"/>
    <w:rsid w:val="00C55346"/>
    <w:rsid w:val="00C57729"/>
    <w:rsid w:val="00C61496"/>
    <w:rsid w:val="00C62957"/>
    <w:rsid w:val="00C62D7A"/>
    <w:rsid w:val="00C83C8A"/>
    <w:rsid w:val="00C84699"/>
    <w:rsid w:val="00C924AF"/>
    <w:rsid w:val="00C93774"/>
    <w:rsid w:val="00CA1143"/>
    <w:rsid w:val="00CD4414"/>
    <w:rsid w:val="00CE02E7"/>
    <w:rsid w:val="00CE28B2"/>
    <w:rsid w:val="00CE3B7C"/>
    <w:rsid w:val="00CF2225"/>
    <w:rsid w:val="00CF442A"/>
    <w:rsid w:val="00CF67BE"/>
    <w:rsid w:val="00D02349"/>
    <w:rsid w:val="00D03119"/>
    <w:rsid w:val="00D04257"/>
    <w:rsid w:val="00D11162"/>
    <w:rsid w:val="00D167C9"/>
    <w:rsid w:val="00D175B9"/>
    <w:rsid w:val="00D350E3"/>
    <w:rsid w:val="00D405E3"/>
    <w:rsid w:val="00D4239B"/>
    <w:rsid w:val="00D516DD"/>
    <w:rsid w:val="00D66458"/>
    <w:rsid w:val="00D701A0"/>
    <w:rsid w:val="00D70ABE"/>
    <w:rsid w:val="00DA110D"/>
    <w:rsid w:val="00DA3F0F"/>
    <w:rsid w:val="00DA52FB"/>
    <w:rsid w:val="00DB17FC"/>
    <w:rsid w:val="00DB3BC8"/>
    <w:rsid w:val="00DB6311"/>
    <w:rsid w:val="00DC085D"/>
    <w:rsid w:val="00DC4F90"/>
    <w:rsid w:val="00DD2D9D"/>
    <w:rsid w:val="00DD3E85"/>
    <w:rsid w:val="00DD4245"/>
    <w:rsid w:val="00DE3421"/>
    <w:rsid w:val="00DF334E"/>
    <w:rsid w:val="00E0407B"/>
    <w:rsid w:val="00E10FDC"/>
    <w:rsid w:val="00E14F6B"/>
    <w:rsid w:val="00E220C0"/>
    <w:rsid w:val="00E25EE7"/>
    <w:rsid w:val="00E3598F"/>
    <w:rsid w:val="00E42957"/>
    <w:rsid w:val="00E43A7F"/>
    <w:rsid w:val="00E57CED"/>
    <w:rsid w:val="00E61181"/>
    <w:rsid w:val="00E626D3"/>
    <w:rsid w:val="00E63D88"/>
    <w:rsid w:val="00E6536F"/>
    <w:rsid w:val="00E83054"/>
    <w:rsid w:val="00EA148A"/>
    <w:rsid w:val="00EA172F"/>
    <w:rsid w:val="00EA1984"/>
    <w:rsid w:val="00EC53CE"/>
    <w:rsid w:val="00ED3DEE"/>
    <w:rsid w:val="00EF64E2"/>
    <w:rsid w:val="00F07663"/>
    <w:rsid w:val="00F21365"/>
    <w:rsid w:val="00F26E7B"/>
    <w:rsid w:val="00F37D49"/>
    <w:rsid w:val="00F55090"/>
    <w:rsid w:val="00F6095F"/>
    <w:rsid w:val="00F62DBB"/>
    <w:rsid w:val="00F65B10"/>
    <w:rsid w:val="00F75F68"/>
    <w:rsid w:val="00F86630"/>
    <w:rsid w:val="00FA25DB"/>
    <w:rsid w:val="00FA4C4C"/>
    <w:rsid w:val="00FB04C4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3GPPHeader">
    <w:name w:val="3GPP_Header"/>
    <w:basedOn w:val="Normal"/>
    <w:rsid w:val="00DA3F0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24148-2923-4745-92E6-EE913BDE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1084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Ericsson</cp:lastModifiedBy>
  <cp:revision>4</cp:revision>
  <cp:lastPrinted>2017-05-05T11:24:00Z</cp:lastPrinted>
  <dcterms:created xsi:type="dcterms:W3CDTF">2017-05-06T12:51:00Z</dcterms:created>
  <dcterms:modified xsi:type="dcterms:W3CDTF">2017-06-16T15:31:00Z</dcterms:modified>
</cp:coreProperties>
</file>